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滕市监〔20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关于开展全国两会期间特种设备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安全专项检查的通知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各市场监管所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、直属队：</w:t>
      </w: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为深入贯彻省委、省政府关于安全生产决策部署，确保2023年全国两会期间全市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特种设备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安全形势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按照省局、枣庄市局工作要求，即日起至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3月底，在全市范围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特种设备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专项检查，现将有关事项通知如下：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8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after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深入贯彻落实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习近平总书记关于安全生产重要指示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和李克强总理批示要求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人民至上、生命至上，统筹好发展和安全，从捍卫“两个确立”、做到“两个维护”的政治高度，深入开展特种设备安全检查，督促企业严格落实安全生产主体责任，有效排查特种设备问题隐患，坚决杜绝特种设备重特大安全事故发生，确保全市特种设备安全生产形势稳定，以实际行动迎接2023年全国两会胜利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二、检查工作任务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（一）安全生产制度落实情况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重点检查企业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国务院安委会“十五条”硬措施和省委省政府“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八抓20条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”创新措施的贯彻落实情况，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安全生产“晨会”、“开工第一课”、全员教育培训，有奖举报“公告牌”制度等各项措施落实情况；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应急预案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及应急演练等各项制度落实情况。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（二）安全生产责任落实情况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重点检查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企业主要负责人履行安全生产第一责任人责任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情况，企业特种设备分管负责人、安全管理人员、作业人员配备及持证情况，上述人员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履行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安全生产责任情况；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特种设备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安全投入责任落实情况；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特种设备企业端数据采集及信息完备情况，作业人员配备及持证自查整改情况，自查情况是否上传企业端；特种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设备的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采购、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安装、使用、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定期检验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检测、维护、保养责任落实情况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（三）风险隐患排查整治及整改落实情况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重点检查企业开展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隐患排查治理情况；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是否严格落实特种设备“应登尽登”、“应检尽检”，是否对停用设备进行有效监管，停用设备是否存在“应停未停”问题，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特种设备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安全法律法规和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安全技术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规范等情况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重大特种设备安全风险隐患排查及整改情况。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（四）重点设备安全整治情况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after="0"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检查公众聚集场所电梯、大型游乐设施、起重机械、快开门式压力容器“三落实、两有证、一检验、一预案”落实情况。推进气瓶追溯系统建设情况，在用气瓶办理使用登记和加贴电子识读标识情况，液化石油气瓶充装单位扫码限充改造情况，车用气瓶充装单位加装电子铅封情况，充装非自有产权气瓶、翻新气瓶、未登记气瓶、超期未检气瓶、检验不合格或已报废未去功能化气瓶情况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after="0" w:line="580" w:lineRule="exact"/>
        <w:ind w:left="0" w:leftChars="0"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（五）其他需要检查的内容。</w:t>
      </w:r>
    </w:p>
    <w:p>
      <w:pPr>
        <w:pStyle w:val="9"/>
        <w:keepNext w:val="0"/>
        <w:keepLines w:val="0"/>
        <w:pageBreakBefore w:val="0"/>
        <w:wordWrap/>
        <w:topLinePunct w:val="0"/>
        <w:bidi w:val="0"/>
        <w:spacing w:after="0" w:line="58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（一）切实强化组织领导。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开展此次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特种设备安全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，是2023年全市安全生产工作开好头、起好步，保障全国两会期间安全生产形势稳定的重要举措。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两会期间，省局、枣庄市局、滕州市安委会分别组成检查组对我局开展的工作督导检查。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要高度重视，强化组织领导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结合正在开展的安全生产重大隐患专项整治行动一同推进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，确保专项行动实效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）切实强化监管执法。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牢固树立“隐患就是事故”的理念，以严上加严、细上加细、实而又实的作风，进一步强化安全监管，加大执法检查力度，对发现的违法行为，铁腕执法，严厉惩处。对重大事故隐患一律挂牌督办；对不能保证安全的，坚决予以停产整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（三）强化宣传引导。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单位在检查期间，要采取多种形式，对做好全国两会期间安全防范工作进行广泛宣传发动，营造浓厚舆论氛围，引导社会各界主动加强安全生产工作，及时推广创新做法和亮点工作，及时曝光安全事故和违法行为，发挥好典型的示范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（四）落实反馈汇报。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按照省局、枣庄市局、滕州市安委会报送检查工作情况统计表要求，请各单位于3月7日前向特监科报送全国两会期间特种设备安全专项检查汇总表（见附件）。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联系人：渠怀宇   杨超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联系方式：0632-5977168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邮箱：tzaqk@163.com 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after="0" w:line="58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附件：全国两会期间特种设备安全专项检查汇总表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滕州市市场监督管理局</w:t>
      </w:r>
    </w:p>
    <w:p>
      <w:pPr>
        <w:ind w:firstLine="5120" w:firstLineChars="1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2023年3月3日</w:t>
      </w:r>
    </w:p>
    <w:p>
      <w:pPr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after="0" w:line="580" w:lineRule="exact"/>
        <w:ind w:left="640" w:leftChars="0" w:hanging="640" w:hanging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80" w:lineRule="exact"/>
        <w:ind w:left="0" w:left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80" w:lineRule="exact"/>
        <w:ind w:left="0" w:leftChars="0"/>
        <w:rPr>
          <w:rFonts w:hint="eastAsia"/>
        </w:rPr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pacing w:after="0"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ordWrap/>
        <w:topLinePunct w:val="0"/>
        <w:bidi w:val="0"/>
        <w:spacing w:after="0" w:line="580" w:lineRule="exact"/>
        <w:ind w:left="0"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5400040" cy="25400"/>
                <wp:effectExtent l="0" t="9525" r="1016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4pt;height:2pt;width:425.2pt;z-index:251660288;mso-width-relative:page;mso-height-relative:page;" filled="f" stroked="t" coordsize="21600,21600" o:gfxdata="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MbGbdQAAAAHAQAADwAAAAAAAAABACAAAAAiAAAAZHJzL2Rvd25yZXYueG1sUEsBAhQAFAAA&#10;AAgAh07iQA+5qErzAQAA6QMAAA4AAAAAAAAAAQAgAAAAIw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28"/>
          <w:szCs w:val="28"/>
        </w:rPr>
        <w:t>抄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报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枣庄市市场监管局，滕州市安委会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分管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副市长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华文中宋" w:eastAsia="仿宋_GB2312" w:cs="Courier New"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412750</wp:posOffset>
                </wp:positionV>
                <wp:extent cx="5335905" cy="22225"/>
                <wp:effectExtent l="0" t="9525" r="17145" b="254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222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2.5pt;height:1.75pt;width:420.15pt;z-index:251662336;mso-width-relative:page;mso-height-relative:page;" filled="f" stroked="t" coordsize="21600,21600" o:gfxdata="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VQ/RzWAAAACAEAAA8AAAAAAAAAAQAgAAAAIgAAAGRycy9kb3ducmV2LnhtbFBLAQIU&#10;ABQAAAAIAIdO4kDt2wrj9QEAAOsDAAAOAAAAAAAAAAEAIAAAACU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48260</wp:posOffset>
                </wp:positionV>
                <wp:extent cx="5356860" cy="762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.8pt;height:0.6pt;width:421.8pt;z-index:251661312;mso-width-relative:page;mso-height-relative:page;" filled="f" stroked="t" coordsize="21600,21600" o:gfxdata="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7UV9NQAAAAFAQAADwAAAAAAAAABACAAAAAiAAAAZHJzL2Rvd25yZXYueG1sUEsB&#10;AhQAFAAAAAgAh07iQIr74r35AQAA5w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市市场监督管理局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Courier New"/>
          <w:bCs/>
          <w:color w:val="auto"/>
          <w:sz w:val="28"/>
          <w:szCs w:val="28"/>
        </w:rPr>
        <w:t xml:space="preserve">     </w:t>
      </w:r>
      <w:r>
        <w:rPr>
          <w:rFonts w:hint="eastAsia" w:ascii="仿宋_GB2312" w:hAnsi="华文中宋" w:eastAsia="仿宋_GB2312" w:cs="Courier New"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日印发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8321040</wp:posOffset>
                </wp:positionV>
                <wp:extent cx="1543050" cy="758190"/>
                <wp:effectExtent l="8255" t="8255" r="1079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55.2pt;height:59.7pt;width:121.5pt;z-index:251663360;mso-width-relative:page;mso-height-relative:page;" fillcolor="#FFFFFF" filled="t" stroked="t" coordsize="21600,21600" o:gfxdata="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TmI42gAAAA0BAAAPAAAAAAAAAAEAIAAAACIAAABkcnMvZG93&#10;bnJldi54bWxQSwECFAAUAAAACACHTuJAVJRVNv4BAAAqBAAADgAAAAAAAAABACAAAAApAQAAZHJz&#10;L2Uyb0RvYy54bWxQSwUGAAAAAAYABgBZAQAAmQUAAAAA&#10;"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3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方正小标宋简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inorHAnsi" w:cstheme="minorBidi"/>
          <w:spacing w:val="-8"/>
          <w:sz w:val="36"/>
          <w:szCs w:val="36"/>
        </w:rPr>
        <w:t>全国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pacing w:val="-8"/>
          <w:sz w:val="36"/>
          <w:szCs w:val="36"/>
        </w:rPr>
        <w:t>两会期间</w:t>
      </w:r>
      <w:r>
        <w:rPr>
          <w:rFonts w:hint="eastAsia" w:ascii="方正小标宋简体" w:eastAsia="方正小标宋简体" w:cstheme="minorBidi"/>
          <w:spacing w:val="-8"/>
          <w:sz w:val="36"/>
          <w:szCs w:val="36"/>
          <w:lang w:val="en-US" w:eastAsia="zh-CN"/>
        </w:rPr>
        <w:t>特种设备</w:t>
      </w:r>
      <w:r>
        <w:rPr>
          <w:rFonts w:hint="eastAsia" w:ascii="方正小标宋简体" w:eastAsia="方正小标宋简体" w:hAnsiTheme="minorHAnsi" w:cstheme="minorBidi"/>
          <w:spacing w:val="-8"/>
          <w:sz w:val="36"/>
          <w:szCs w:val="36"/>
          <w:lang w:eastAsia="zh-CN"/>
        </w:rPr>
        <w:t>安全</w:t>
      </w:r>
      <w:r>
        <w:rPr>
          <w:rFonts w:hint="eastAsia" w:ascii="方正小标宋简体" w:eastAsia="方正小标宋简体" w:cstheme="minorBidi"/>
          <w:spacing w:val="-8"/>
          <w:sz w:val="36"/>
          <w:szCs w:val="36"/>
          <w:lang w:val="en-US" w:eastAsia="zh-CN"/>
        </w:rPr>
        <w:t>专项</w:t>
      </w:r>
      <w:r>
        <w:rPr>
          <w:rFonts w:hint="eastAsia" w:ascii="方正小标宋简体" w:eastAsia="方正小标宋简体" w:hAnsiTheme="minorHAnsi" w:cstheme="minorBidi"/>
          <w:spacing w:val="-8"/>
          <w:sz w:val="36"/>
          <w:szCs w:val="36"/>
          <w:lang w:eastAsia="zh-CN"/>
        </w:rPr>
        <w:t>检查汇总表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-20"/>
          <w:position w:val="-2"/>
          <w:sz w:val="32"/>
          <w:szCs w:val="32"/>
          <w:u w:val="none"/>
          <w:lang w:eastAsia="zh-CN"/>
        </w:rPr>
        <w:t>填报单位：</w:t>
      </w:r>
      <w:r>
        <w:rPr>
          <w:rFonts w:hint="eastAsia" w:ascii="方正楷体简体" w:hAnsi="方正楷体简体" w:eastAsia="方正楷体简体" w:cs="方正楷体简体"/>
          <w:spacing w:val="4"/>
          <w:position w:val="-2"/>
          <w:sz w:val="32"/>
          <w:szCs w:val="32"/>
        </w:rPr>
        <w:t xml:space="preserve">     </w:t>
      </w:r>
      <w:r>
        <w:rPr>
          <w:rFonts w:hint="eastAsia" w:ascii="方正楷体简体" w:hAnsi="方正楷体简体" w:eastAsia="方正楷体简体" w:cs="方正楷体简体"/>
          <w:spacing w:val="4"/>
          <w:position w:val="-2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spacing w:val="4"/>
          <w:position w:val="-2"/>
          <w:sz w:val="32"/>
          <w:szCs w:val="32"/>
        </w:rPr>
        <w:t xml:space="preserve">  </w:t>
      </w:r>
      <w:r>
        <w:rPr>
          <w:rFonts w:hint="eastAsia" w:ascii="方正楷体简体" w:hAnsi="方正楷体简体" w:eastAsia="方正楷体简体" w:cs="方正楷体简体"/>
          <w:spacing w:val="4"/>
          <w:position w:val="-2"/>
          <w:sz w:val="32"/>
          <w:szCs w:val="32"/>
          <w:lang w:val="en-US" w:eastAsia="zh-CN"/>
        </w:rPr>
        <w:t xml:space="preserve">      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</w:rPr>
        <w:t>填表日期：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</w:rPr>
        <w:t>月</w:t>
      </w:r>
      <w:r>
        <w:rPr>
          <w:rFonts w:hint="eastAsia" w:ascii="方正楷体简体" w:hAnsi="方正楷体简体" w:eastAsia="方正楷体简体" w:cs="方正楷体简体"/>
          <w:spacing w:val="-20"/>
          <w:position w:val="1"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spacing w:val="-20"/>
          <w:position w:val="4"/>
          <w:sz w:val="32"/>
          <w:szCs w:val="32"/>
        </w:rPr>
        <w:t>日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925"/>
        <w:gridCol w:w="1246"/>
        <w:gridCol w:w="246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隐患排查整治情况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排查发现隐患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数量（个）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已整改隐患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数量（个）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排查发现严重事故隐患数量（个）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已整改严重事故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隐患数量（个）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执法检查情况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执法检查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次数（次）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执法检查处罚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次数（次）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执法检查处罚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金额（万元）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查处非法违法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行为数量（项）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6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停产、停业或关闭、取缔企业单位数量（家）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专家帮扶检查情况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组织专家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人数（人）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帮扶企业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数量（家）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center"/>
              <w:textAlignment w:val="baseline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eastAsia="zh-CN"/>
              </w:rPr>
              <w:t>帮助企业解决问题隐患数量（个）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填表人：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80" w:lineRule="exact"/>
        <w:ind w:left="0" w:leftChars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MWQyMjliYzgzNjZhMGFiMzU1MzZjMWY5ZjBiNGYifQ=="/>
    <w:docVar w:name="KSO_WPS_MARK_KEY" w:val="febde165-c0ee-428f-8519-34f2aaca5d2f"/>
  </w:docVars>
  <w:rsids>
    <w:rsidRoot w:val="00000000"/>
    <w:rsid w:val="010411BC"/>
    <w:rsid w:val="25C366B7"/>
    <w:rsid w:val="2B053749"/>
    <w:rsid w:val="389E6F8B"/>
    <w:rsid w:val="460406BE"/>
    <w:rsid w:val="55395F33"/>
    <w:rsid w:val="65C4125C"/>
    <w:rsid w:val="68110D02"/>
    <w:rsid w:val="7E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next w:val="6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next w:val="1"/>
    <w:unhideWhenUsed/>
    <w:qFormat/>
    <w:uiPriority w:val="99"/>
    <w:pPr>
      <w:ind w:firstLine="420" w:firstLineChars="200"/>
    </w:pPr>
    <w:rPr>
      <w:rFonts w:cstheme="minorBidi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1828</Characters>
  <Lines>0</Lines>
  <Paragraphs>0</Paragraphs>
  <TotalTime>22</TotalTime>
  <ScaleCrop>false</ScaleCrop>
  <LinksUpToDate>false</LinksUpToDate>
  <CharactersWithSpaces>1915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2023-03-02T07:03:00Z</dcterms:created>
  <dc:creator>admin</dc:creator>
  <cp:lastModifiedBy>Administrator</cp:lastModifiedBy>
  <cp:lastPrinted>2023-03-07T00:57:00Z</cp:lastPrinted>
  <dcterms:modified xsi:type="dcterms:W3CDTF">2025-03-05T07:00:13Z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2DA051C8F2454F828F13C5B59463744C_13</vt:lpwstr>
  </property>
</Properties>
</file>